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04B" w:rsidRPr="007A404B" w:rsidRDefault="007A404B" w:rsidP="007A404B">
      <w:pPr>
        <w:pStyle w:val="BodyText2"/>
        <w:spacing w:after="120"/>
        <w:rPr>
          <w:rFonts w:ascii="Arial" w:hAnsi="Arial" w:cs="Arial"/>
          <w:sz w:val="24"/>
        </w:rPr>
      </w:pPr>
      <w:bookmarkStart w:id="0" w:name="_GoBack"/>
      <w:bookmarkEnd w:id="0"/>
      <w:r w:rsidRPr="007A404B">
        <w:rPr>
          <w:rFonts w:ascii="Arial" w:hAnsi="Arial" w:cs="Arial"/>
          <w:sz w:val="24"/>
        </w:rPr>
        <w:t>{COVERED ENTITY NAME}</w:t>
      </w:r>
    </w:p>
    <w:p w:rsidR="007A404B" w:rsidRPr="007A404B" w:rsidRDefault="007A404B" w:rsidP="007A404B">
      <w:pPr>
        <w:pStyle w:val="BodyText2"/>
        <w:rPr>
          <w:rFonts w:ascii="Arial" w:hAnsi="Arial" w:cs="Arial"/>
        </w:rPr>
      </w:pPr>
      <w:r w:rsidRPr="007A404B">
        <w:rPr>
          <w:rFonts w:ascii="Arial" w:hAnsi="Arial" w:cs="Arial"/>
          <w:sz w:val="24"/>
        </w:rPr>
        <w:t>BREACH IDENTIFICATION</w:t>
      </w:r>
    </w:p>
    <w:p w:rsidR="007A404B" w:rsidRPr="007A404B" w:rsidRDefault="007A404B" w:rsidP="003612BB">
      <w:pPr>
        <w:pStyle w:val="BodyText"/>
        <w:pBdr>
          <w:top w:val="single" w:sz="4" w:space="1" w:color="auto"/>
          <w:left w:val="single" w:sz="4" w:space="4" w:color="auto"/>
          <w:bottom w:val="single" w:sz="4" w:space="1" w:color="auto"/>
          <w:right w:val="single" w:sz="4" w:space="4" w:color="auto"/>
        </w:pBdr>
        <w:shd w:val="clear" w:color="auto" w:fill="DBE5F1"/>
        <w:rPr>
          <w:rFonts w:ascii="Arial" w:hAnsi="Arial" w:cs="Arial"/>
        </w:rPr>
      </w:pPr>
      <w:r w:rsidRPr="007A404B">
        <w:rPr>
          <w:rFonts w:ascii="Arial" w:hAnsi="Arial" w:cs="Arial"/>
          <w:u w:val="single"/>
        </w:rPr>
        <w:t>Purpose</w:t>
      </w:r>
      <w:r w:rsidRPr="007A404B">
        <w:rPr>
          <w:rFonts w:ascii="Arial" w:hAnsi="Arial" w:cs="Arial"/>
        </w:rPr>
        <w:t xml:space="preserve">:  This Form is used to identify whether a breach has occurred under the HIPAA Breach Notification Rules.  </w:t>
      </w:r>
      <w:r w:rsidR="00E21627">
        <w:rPr>
          <w:rFonts w:ascii="Arial" w:hAnsi="Arial" w:cs="Arial"/>
        </w:rPr>
        <w:t xml:space="preserve">Retain this form </w:t>
      </w:r>
      <w:r w:rsidRPr="007A404B">
        <w:rPr>
          <w:rFonts w:ascii="Arial" w:hAnsi="Arial" w:cs="Arial"/>
        </w:rPr>
        <w:t xml:space="preserve">in the health plan’s records for at least six (6) years from the date below. </w:t>
      </w:r>
    </w:p>
    <w:p w:rsidR="007A404B" w:rsidRPr="007A404B" w:rsidRDefault="007A404B" w:rsidP="007A404B">
      <w:pPr>
        <w:tabs>
          <w:tab w:val="left" w:pos="4320"/>
          <w:tab w:val="left" w:pos="5040"/>
          <w:tab w:val="left" w:pos="9360"/>
        </w:tabs>
        <w:spacing w:before="120" w:after="120"/>
        <w:rPr>
          <w:rFonts w:ascii="Arial" w:hAnsi="Arial" w:cs="Arial"/>
          <w:sz w:val="20"/>
        </w:rPr>
      </w:pPr>
      <w:r w:rsidRPr="007A404B">
        <w:rPr>
          <w:rFonts w:ascii="Arial" w:hAnsi="Arial" w:cs="Arial"/>
          <w:b/>
          <w:sz w:val="20"/>
          <w:u w:val="single"/>
        </w:rPr>
        <w:t>SECTION A:  Identification of Unsecured Protected Health Information</w:t>
      </w:r>
    </w:p>
    <w:p w:rsidR="007A404B" w:rsidRPr="007A404B" w:rsidRDefault="007A404B" w:rsidP="00AC38C9">
      <w:pPr>
        <w:jc w:val="both"/>
        <w:rPr>
          <w:rFonts w:ascii="Arial" w:hAnsi="Arial" w:cs="Arial"/>
          <w:sz w:val="20"/>
        </w:rPr>
      </w:pPr>
      <w:r w:rsidRPr="007A404B">
        <w:rPr>
          <w:rFonts w:ascii="Arial" w:hAnsi="Arial" w:cs="Arial"/>
          <w:sz w:val="20"/>
        </w:rPr>
        <w:t xml:space="preserve">We previously identified the protected health information (“PHI”) we hold.  We now must determine if this information is ever “unsecured.”  PHI will be unsecured unless it is rendered unusable, unreadable, or indecipherable to unauthorized individuals through the use of a technology or methodology specified by the U.S. Department of Health and Human Services (“HHS”).  </w:t>
      </w:r>
    </w:p>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Based upon our review of the PHI we hold, along with current HHS guidance, we conclude that we:</w:t>
      </w:r>
    </w:p>
    <w:p w:rsidR="007A404B" w:rsidRPr="007A404B" w:rsidRDefault="007A404B" w:rsidP="007A404B">
      <w:pPr>
        <w:tabs>
          <w:tab w:val="left" w:pos="4320"/>
          <w:tab w:val="left" w:pos="5040"/>
          <w:tab w:val="left" w:pos="9360"/>
        </w:tabs>
        <w:spacing w:before="120" w:after="120"/>
        <w:rPr>
          <w:rFonts w:ascii="Arial" w:hAnsi="Arial" w:cs="Arial"/>
          <w:sz w:val="20"/>
        </w:rPr>
      </w:pPr>
      <w:r w:rsidRPr="007A404B">
        <w:rPr>
          <w:rFonts w:ascii="Arial" w:hAnsi="Arial" w:cs="Arial"/>
          <w:sz w:val="20"/>
        </w:rPr>
        <w:sym w:font="Wingdings" w:char="F0A8"/>
      </w:r>
      <w:r w:rsidRPr="007A404B">
        <w:rPr>
          <w:rFonts w:ascii="Arial" w:hAnsi="Arial" w:cs="Arial"/>
          <w:sz w:val="20"/>
        </w:rPr>
        <w:t xml:space="preserve">  Always hold unsecured PHI, for example</w:t>
      </w:r>
      <w:proofErr w:type="gramStart"/>
      <w:r w:rsidRPr="007A404B">
        <w:rPr>
          <w:rFonts w:ascii="Arial" w:hAnsi="Arial" w:cs="Arial"/>
          <w:sz w:val="20"/>
        </w:rPr>
        <w:t>,_</w:t>
      </w:r>
      <w:proofErr w:type="gramEnd"/>
      <w:r w:rsidRPr="007A404B">
        <w:rPr>
          <w:rFonts w:ascii="Arial" w:hAnsi="Arial" w:cs="Arial"/>
          <w:sz w:val="20"/>
        </w:rPr>
        <w:t>_______________________________________________</w:t>
      </w:r>
    </w:p>
    <w:p w:rsidR="007A404B" w:rsidRPr="007A404B" w:rsidRDefault="007A404B" w:rsidP="007A404B">
      <w:pPr>
        <w:tabs>
          <w:tab w:val="left" w:pos="4320"/>
          <w:tab w:val="left" w:pos="5040"/>
          <w:tab w:val="left" w:pos="9360"/>
        </w:tabs>
        <w:spacing w:before="120" w:after="120"/>
        <w:rPr>
          <w:rFonts w:ascii="Arial" w:hAnsi="Arial" w:cs="Arial"/>
          <w:sz w:val="20"/>
        </w:rPr>
      </w:pPr>
      <w:r w:rsidRPr="007A404B">
        <w:rPr>
          <w:rFonts w:ascii="Arial" w:hAnsi="Arial" w:cs="Arial"/>
          <w:sz w:val="20"/>
        </w:rPr>
        <w:sym w:font="Wingdings" w:char="F0A8"/>
      </w:r>
      <w:r w:rsidRPr="007A404B">
        <w:rPr>
          <w:rFonts w:ascii="Arial" w:hAnsi="Arial" w:cs="Arial"/>
          <w:sz w:val="20"/>
        </w:rPr>
        <w:t xml:space="preserve">  Sometimes hold unsecured PHI; for example, ____________________________________________</w:t>
      </w:r>
    </w:p>
    <w:p w:rsidR="007A404B" w:rsidRPr="007A404B" w:rsidRDefault="007A404B" w:rsidP="007A404B">
      <w:pPr>
        <w:tabs>
          <w:tab w:val="left" w:pos="4320"/>
          <w:tab w:val="left" w:pos="5040"/>
          <w:tab w:val="left" w:pos="9360"/>
        </w:tabs>
        <w:spacing w:before="120" w:after="120"/>
        <w:rPr>
          <w:rFonts w:ascii="Arial" w:hAnsi="Arial" w:cs="Arial"/>
          <w:sz w:val="20"/>
        </w:rPr>
      </w:pPr>
      <w:r w:rsidRPr="007A404B">
        <w:rPr>
          <w:rFonts w:ascii="Arial" w:hAnsi="Arial" w:cs="Arial"/>
          <w:sz w:val="20"/>
        </w:rPr>
        <w:sym w:font="Wingdings" w:char="F0A8"/>
      </w:r>
      <w:r w:rsidRPr="007A404B">
        <w:rPr>
          <w:rFonts w:ascii="Arial" w:hAnsi="Arial" w:cs="Arial"/>
          <w:sz w:val="20"/>
        </w:rPr>
        <w:t xml:space="preserve">  Never hold unsecured PHI.</w:t>
      </w:r>
    </w:p>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 xml:space="preserve">If the last box is checked (“Never hold unsecured PHI”), there is no need to complete the remainder of this Form </w:t>
      </w:r>
      <w:r w:rsidR="007B292B">
        <w:rPr>
          <w:rFonts w:ascii="Arial" w:hAnsi="Arial" w:cs="Arial"/>
          <w:sz w:val="20"/>
        </w:rPr>
        <w:t>10</w:t>
      </w:r>
      <w:r w:rsidRPr="007A404B">
        <w:rPr>
          <w:rFonts w:ascii="Arial" w:hAnsi="Arial" w:cs="Arial"/>
          <w:sz w:val="20"/>
        </w:rPr>
        <w:t>.</w:t>
      </w:r>
    </w:p>
    <w:p w:rsidR="007A404B" w:rsidRPr="007A404B" w:rsidRDefault="007A404B" w:rsidP="007A404B">
      <w:pPr>
        <w:tabs>
          <w:tab w:val="left" w:pos="4320"/>
          <w:tab w:val="left" w:pos="5040"/>
          <w:tab w:val="left" w:pos="9360"/>
        </w:tabs>
        <w:spacing w:before="120" w:after="120"/>
        <w:rPr>
          <w:rFonts w:ascii="Arial" w:hAnsi="Arial" w:cs="Arial"/>
          <w:b/>
          <w:sz w:val="20"/>
          <w:u w:val="single"/>
        </w:rPr>
      </w:pPr>
      <w:r w:rsidRPr="007A404B">
        <w:rPr>
          <w:rFonts w:ascii="Arial" w:hAnsi="Arial" w:cs="Arial"/>
          <w:b/>
          <w:sz w:val="20"/>
          <w:u w:val="single"/>
        </w:rPr>
        <w:t>SECTION B: Verification of Holding of PHI</w:t>
      </w:r>
    </w:p>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 xml:space="preserve">The HIPAA breach provisions apply to a Breach of Unsecured PHI.  The breach rule applies only if there is an acquisition, access, use or disclosure of Unsecured PHI in a manner not permitted by the Privacy Rules, unless a risk assessment demonstrates that there is a low probability that the PHI has been "compromised."  Verify if an exception applies such that these breach notification rules do not apply by completing Section C.  Complete Section D to determine if the PHI was compromised.  If we have doubt about the meaning of these terms in a particular situation, it is our policy to seek legal advice on the meaning of the unclear term. </w:t>
      </w:r>
    </w:p>
    <w:p w:rsidR="007A404B" w:rsidRPr="007A404B" w:rsidRDefault="007A404B" w:rsidP="007A404B">
      <w:pPr>
        <w:tabs>
          <w:tab w:val="left" w:pos="4320"/>
          <w:tab w:val="left" w:pos="5040"/>
          <w:tab w:val="left" w:pos="9360"/>
        </w:tabs>
        <w:spacing w:before="120" w:after="120"/>
        <w:rPr>
          <w:rFonts w:ascii="Arial" w:hAnsi="Arial" w:cs="Arial"/>
          <w:b/>
          <w:sz w:val="20"/>
          <w:u w:val="single"/>
        </w:rPr>
      </w:pPr>
      <w:r w:rsidRPr="007A404B">
        <w:rPr>
          <w:rFonts w:ascii="Arial" w:hAnsi="Arial" w:cs="Arial"/>
          <w:b/>
          <w:sz w:val="20"/>
          <w:u w:val="single"/>
        </w:rPr>
        <w:t>SECTION C: Exceptions to Breach Rules</w:t>
      </w:r>
    </w:p>
    <w:p w:rsidR="007A404B" w:rsidRPr="007A404B" w:rsidRDefault="007A404B" w:rsidP="007A404B">
      <w:pPr>
        <w:tabs>
          <w:tab w:val="left" w:pos="4320"/>
          <w:tab w:val="left" w:pos="5040"/>
          <w:tab w:val="left" w:pos="9360"/>
        </w:tabs>
        <w:spacing w:before="120" w:after="120"/>
        <w:rPr>
          <w:rFonts w:ascii="Arial" w:hAnsi="Arial" w:cs="Arial"/>
          <w:sz w:val="20"/>
        </w:rPr>
      </w:pPr>
      <w:r w:rsidRPr="007A404B">
        <w:rPr>
          <w:rFonts w:ascii="Arial" w:hAnsi="Arial" w:cs="Arial"/>
          <w:sz w:val="20"/>
        </w:rPr>
        <w:t>A “breach” excludes:</w:t>
      </w:r>
    </w:p>
    <w:p w:rsidR="007A404B" w:rsidRPr="007A404B" w:rsidRDefault="007A404B" w:rsidP="00AC38C9">
      <w:pPr>
        <w:spacing w:before="120" w:after="120"/>
        <w:jc w:val="both"/>
        <w:rPr>
          <w:rFonts w:ascii="Arial" w:hAnsi="Arial" w:cs="Arial"/>
          <w:sz w:val="20"/>
        </w:rPr>
      </w:pPr>
      <w:r w:rsidRPr="007A404B">
        <w:rPr>
          <w:rFonts w:ascii="Arial" w:hAnsi="Arial" w:cs="Arial"/>
          <w:sz w:val="20"/>
        </w:rPr>
        <w:t>(1)</w:t>
      </w:r>
      <w:r w:rsidRPr="007A404B">
        <w:rPr>
          <w:rFonts w:ascii="Arial" w:hAnsi="Arial" w:cs="Arial"/>
          <w:sz w:val="20"/>
        </w:rPr>
        <w:tab/>
        <w:t>Any unintentional acquisition, access, or use of PHI by the plan's workforce member or a person acting under the authority of the plan or the plan's business associate, if such acquisition, access, or use was made in good faith and within the scope of authority and does not result in further use or disclosure in a manner not permitted by the Privacy Rules.</w:t>
      </w:r>
    </w:p>
    <w:p w:rsidR="007A404B" w:rsidRPr="007A404B" w:rsidRDefault="007A404B" w:rsidP="00AC38C9">
      <w:pPr>
        <w:spacing w:before="120" w:after="120"/>
        <w:jc w:val="both"/>
        <w:rPr>
          <w:rFonts w:ascii="Arial" w:hAnsi="Arial" w:cs="Arial"/>
          <w:sz w:val="20"/>
        </w:rPr>
      </w:pPr>
      <w:r w:rsidRPr="007A404B">
        <w:rPr>
          <w:rFonts w:ascii="Arial" w:hAnsi="Arial" w:cs="Arial"/>
          <w:sz w:val="20"/>
        </w:rPr>
        <w:t>(ii)</w:t>
      </w:r>
      <w:r w:rsidRPr="007A404B">
        <w:rPr>
          <w:rFonts w:ascii="Arial" w:hAnsi="Arial" w:cs="Arial"/>
          <w:sz w:val="20"/>
        </w:rPr>
        <w:tab/>
        <w:t>Any inadvertent disclosure by a person who is authorized to access PHI at our plan or our business associate to another person authorized to access PHI at our plan or our business associate (or an organized health care arrangement in which we participate) provided the information received as a result of such disclosure is not further used or disclosed in a manner not permitted by the Privacy Rules.</w:t>
      </w:r>
    </w:p>
    <w:p w:rsidR="007A404B" w:rsidRPr="007A404B" w:rsidRDefault="007A404B" w:rsidP="00AC38C9">
      <w:pPr>
        <w:spacing w:before="120" w:after="120"/>
        <w:jc w:val="both"/>
        <w:rPr>
          <w:rFonts w:ascii="Arial" w:hAnsi="Arial" w:cs="Arial"/>
          <w:sz w:val="20"/>
        </w:rPr>
      </w:pPr>
      <w:r w:rsidRPr="007A404B">
        <w:rPr>
          <w:rFonts w:ascii="Arial" w:hAnsi="Arial" w:cs="Arial"/>
          <w:sz w:val="20"/>
        </w:rPr>
        <w:t>(iii)</w:t>
      </w:r>
      <w:r w:rsidRPr="007A404B">
        <w:rPr>
          <w:rFonts w:ascii="Arial" w:hAnsi="Arial" w:cs="Arial"/>
          <w:sz w:val="20"/>
        </w:rPr>
        <w:tab/>
        <w:t>A disclosure of PHI where a covered entity or business associate has a good faith belief that an unauthorized person to whom the disclosure was made would not reasonably have been able to retain such information.</w:t>
      </w:r>
    </w:p>
    <w:p w:rsidR="007A404B" w:rsidRPr="007A404B" w:rsidRDefault="005134A0" w:rsidP="005134A0">
      <w:pPr>
        <w:spacing w:before="120" w:after="120"/>
        <w:rPr>
          <w:rFonts w:ascii="Arial" w:hAnsi="Arial" w:cs="Arial"/>
          <w:b/>
          <w:sz w:val="20"/>
          <w:u w:val="single"/>
        </w:rPr>
      </w:pPr>
      <w:r>
        <w:rPr>
          <w:rFonts w:ascii="Arial" w:hAnsi="Arial" w:cs="Arial"/>
          <w:sz w:val="20"/>
        </w:rPr>
        <w:br w:type="page"/>
      </w:r>
      <w:r w:rsidR="007A404B" w:rsidRPr="007A404B">
        <w:rPr>
          <w:rFonts w:ascii="Arial" w:hAnsi="Arial" w:cs="Arial"/>
          <w:b/>
          <w:sz w:val="20"/>
          <w:u w:val="single"/>
        </w:rPr>
        <w:lastRenderedPageBreak/>
        <w:t>SECTION D: Compromised PHI</w:t>
      </w:r>
    </w:p>
    <w:p w:rsidR="007A404B" w:rsidRPr="007A404B" w:rsidRDefault="007A404B" w:rsidP="00AC38C9">
      <w:pPr>
        <w:spacing w:before="120" w:after="240"/>
        <w:jc w:val="both"/>
        <w:rPr>
          <w:rFonts w:ascii="Arial" w:hAnsi="Arial" w:cs="Arial"/>
          <w:sz w:val="20"/>
        </w:rPr>
      </w:pPr>
      <w:r w:rsidRPr="007A404B">
        <w:rPr>
          <w:rFonts w:ascii="Arial" w:hAnsi="Arial" w:cs="Arial"/>
          <w:sz w:val="20"/>
        </w:rPr>
        <w:t>The HIPAA Breach Notification Rule presumes that situations involving impermissible access, acquisition, use or disclosure of PHI is a breach.  This presumption can be overcome if we demonstrate (or our business associate demonstrates to our satisfaction) that there is a low probability that the information has been compromised.  This low probability is demonstrated by conducting a "risk assessment."  Complete this Section D to perform our “risk assessment” of whether the PHI has been compromised.</w:t>
      </w:r>
    </w:p>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 xml:space="preserve">A risk assessment must consider at least the following factors: (1) the nature and extent of the PHI involved, including the types of identifiers and the likelihood of re-identification; (2) the unauthorized person who used the PHI or to whom the disclosure was made; (3) whether the PHI was actually acquired or viewed; and (4) the extent to which the risk to the PHI has been mitigated.  Describe these factors here: </w:t>
      </w:r>
    </w:p>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____________________________________________________________________________________</w:t>
      </w:r>
    </w:p>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____________________________________________________________________________________</w:t>
      </w:r>
    </w:p>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____________________________________________________________________________________</w:t>
      </w:r>
    </w:p>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____________________________________________________________________________________</w:t>
      </w:r>
    </w:p>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 xml:space="preserve">These factors should be applied on a case-by-case basis for each individual whose PHI was potentially breached.  The results could vary based upon individual factors.  For example, suppose the PHI of two employees was improperly sent to a manager of a company.  The manager supervises only one of the two employees; the other is in a separate division and the manager has no influence over the other individual.  It is possible that the PHI would be compromised with respect to the employee who reports to the supervisor but not compromised with respect to the employee who works in the separate division.  </w:t>
      </w:r>
    </w:p>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Based upon these factors, we conclude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7A404B" w:rsidRPr="007A404B" w:rsidTr="00C1481F">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r w:rsidRPr="007A404B">
              <w:rPr>
                <w:rFonts w:ascii="Arial" w:hAnsi="Arial" w:cs="Arial"/>
                <w:sz w:val="20"/>
              </w:rPr>
              <w:t>Name of Affected Individual</w:t>
            </w: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r w:rsidRPr="007A404B">
              <w:rPr>
                <w:rFonts w:ascii="Arial" w:hAnsi="Arial" w:cs="Arial"/>
                <w:sz w:val="20"/>
              </w:rPr>
              <w:t>Low Probability PHI was Compromised?  (Yes or No)</w:t>
            </w: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r w:rsidRPr="007A404B">
              <w:rPr>
                <w:rFonts w:ascii="Arial" w:hAnsi="Arial" w:cs="Arial"/>
                <w:sz w:val="20"/>
              </w:rPr>
              <w:t>Comments on Risk Assessment</w:t>
            </w:r>
          </w:p>
        </w:tc>
      </w:tr>
      <w:tr w:rsidR="007A404B" w:rsidRPr="007A404B" w:rsidTr="00C1481F">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r>
      <w:tr w:rsidR="007A404B" w:rsidRPr="007A404B" w:rsidTr="00C1481F">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r>
      <w:tr w:rsidR="007A404B" w:rsidRPr="007A404B" w:rsidTr="00C1481F">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r>
      <w:tr w:rsidR="007A404B" w:rsidRPr="007A404B" w:rsidTr="00C1481F">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r>
      <w:tr w:rsidR="007A404B" w:rsidRPr="007A404B" w:rsidTr="00C1481F">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r>
      <w:tr w:rsidR="007A404B" w:rsidRPr="007A404B" w:rsidTr="00C1481F">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c>
          <w:tcPr>
            <w:tcW w:w="3192" w:type="dxa"/>
          </w:tcPr>
          <w:p w:rsidR="007A404B" w:rsidRPr="007A404B" w:rsidRDefault="007A404B" w:rsidP="00C1481F">
            <w:pPr>
              <w:tabs>
                <w:tab w:val="left" w:pos="4320"/>
                <w:tab w:val="left" w:pos="5040"/>
                <w:tab w:val="left" w:pos="9360"/>
              </w:tabs>
              <w:spacing w:before="120" w:after="120"/>
              <w:rPr>
                <w:rFonts w:ascii="Arial" w:hAnsi="Arial" w:cs="Arial"/>
                <w:sz w:val="20"/>
              </w:rPr>
            </w:pPr>
          </w:p>
        </w:tc>
      </w:tr>
    </w:tbl>
    <w:p w:rsidR="007A404B" w:rsidRPr="007A404B" w:rsidRDefault="007A404B" w:rsidP="00AC38C9">
      <w:pPr>
        <w:tabs>
          <w:tab w:val="left" w:pos="4320"/>
          <w:tab w:val="left" w:pos="5040"/>
          <w:tab w:val="left" w:pos="9360"/>
        </w:tabs>
        <w:spacing w:before="120" w:after="120"/>
        <w:jc w:val="both"/>
        <w:rPr>
          <w:rFonts w:ascii="Arial" w:hAnsi="Arial" w:cs="Arial"/>
          <w:sz w:val="20"/>
        </w:rPr>
      </w:pPr>
      <w:r w:rsidRPr="007A404B">
        <w:rPr>
          <w:rFonts w:ascii="Arial" w:hAnsi="Arial" w:cs="Arial"/>
          <w:sz w:val="20"/>
        </w:rPr>
        <w:t xml:space="preserve">For individuals for whom we have concluded the PHI was compromised, list these individuals in </w:t>
      </w:r>
      <w:r w:rsidRPr="007A404B">
        <w:rPr>
          <w:rFonts w:ascii="Arial" w:hAnsi="Arial" w:cs="Arial"/>
          <w:i/>
          <w:sz w:val="20"/>
        </w:rPr>
        <w:t xml:space="preserve">Form </w:t>
      </w:r>
      <w:r w:rsidR="007B292B">
        <w:rPr>
          <w:rFonts w:ascii="Arial" w:hAnsi="Arial" w:cs="Arial"/>
          <w:i/>
          <w:sz w:val="20"/>
        </w:rPr>
        <w:t>11</w:t>
      </w:r>
      <w:r w:rsidRPr="007A404B">
        <w:rPr>
          <w:rFonts w:ascii="Arial" w:hAnsi="Arial" w:cs="Arial"/>
          <w:i/>
          <w:sz w:val="20"/>
        </w:rPr>
        <w:t>, Log of Individuals Affected by Breach</w:t>
      </w:r>
      <w:r w:rsidRPr="007A404B">
        <w:rPr>
          <w:rFonts w:ascii="Arial" w:hAnsi="Arial" w:cs="Arial"/>
          <w:sz w:val="20"/>
        </w:rPr>
        <w:t xml:space="preserve">.  Even if we conclude the PHI was not compromised, retain this </w:t>
      </w:r>
      <w:r w:rsidRPr="007A404B">
        <w:rPr>
          <w:rFonts w:ascii="Arial" w:hAnsi="Arial" w:cs="Arial"/>
          <w:i/>
          <w:sz w:val="20"/>
        </w:rPr>
        <w:t xml:space="preserve">Form </w:t>
      </w:r>
      <w:r w:rsidR="007B292B">
        <w:rPr>
          <w:rFonts w:ascii="Arial" w:hAnsi="Arial" w:cs="Arial"/>
          <w:i/>
          <w:sz w:val="20"/>
        </w:rPr>
        <w:t>10</w:t>
      </w:r>
      <w:r w:rsidRPr="007A404B">
        <w:rPr>
          <w:rFonts w:ascii="Arial" w:hAnsi="Arial" w:cs="Arial"/>
          <w:sz w:val="20"/>
        </w:rPr>
        <w:t xml:space="preserve"> so we can demonstrate our analysis.</w:t>
      </w:r>
    </w:p>
    <w:p w:rsidR="007A404B" w:rsidRPr="007A404B" w:rsidRDefault="003935F8" w:rsidP="007A404B">
      <w:pPr>
        <w:tabs>
          <w:tab w:val="left" w:pos="4320"/>
          <w:tab w:val="left" w:pos="5040"/>
          <w:tab w:val="left" w:pos="9360"/>
        </w:tabs>
        <w:spacing w:before="120" w:after="120"/>
        <w:rPr>
          <w:rFonts w:ascii="Arial" w:hAnsi="Arial" w:cs="Arial"/>
          <w:b/>
          <w:sz w:val="20"/>
          <w:u w:val="single"/>
        </w:rPr>
      </w:pPr>
      <w:r>
        <w:rPr>
          <w:rFonts w:ascii="Arial" w:hAnsi="Arial" w:cs="Arial"/>
          <w:b/>
          <w:sz w:val="20"/>
          <w:u w:val="single"/>
        </w:rPr>
        <w:br w:type="page"/>
      </w:r>
      <w:r w:rsidR="007A404B" w:rsidRPr="007A404B">
        <w:rPr>
          <w:rFonts w:ascii="Arial" w:hAnsi="Arial" w:cs="Arial"/>
          <w:b/>
          <w:sz w:val="20"/>
          <w:u w:val="single"/>
        </w:rPr>
        <w:lastRenderedPageBreak/>
        <w:t>SECTION E: Notification of Breach</w:t>
      </w:r>
    </w:p>
    <w:p w:rsidR="007A404B" w:rsidRPr="007A404B" w:rsidRDefault="007A404B" w:rsidP="007A404B">
      <w:pPr>
        <w:tabs>
          <w:tab w:val="left" w:pos="4320"/>
          <w:tab w:val="left" w:pos="5040"/>
          <w:tab w:val="left" w:pos="9360"/>
        </w:tabs>
        <w:spacing w:before="120" w:after="120"/>
        <w:rPr>
          <w:rFonts w:ascii="Arial" w:hAnsi="Arial" w:cs="Arial"/>
          <w:sz w:val="20"/>
        </w:rPr>
      </w:pPr>
      <w:r w:rsidRPr="007A404B">
        <w:rPr>
          <w:rFonts w:ascii="Arial" w:hAnsi="Arial" w:cs="Arial"/>
          <w:sz w:val="20"/>
        </w:rPr>
        <w:t xml:space="preserve">We will use the definition of “Breach” and “Unsecured” PHI from above to determine if a Breach has occurred.  We will also make reports as appropriate using </w:t>
      </w:r>
      <w:r w:rsidRPr="007A404B">
        <w:rPr>
          <w:rFonts w:ascii="Arial" w:hAnsi="Arial" w:cs="Arial"/>
          <w:i/>
          <w:sz w:val="20"/>
        </w:rPr>
        <w:t xml:space="preserve">Form </w:t>
      </w:r>
      <w:r w:rsidR="007B292B">
        <w:rPr>
          <w:rFonts w:ascii="Arial" w:hAnsi="Arial" w:cs="Arial"/>
          <w:i/>
          <w:sz w:val="20"/>
        </w:rPr>
        <w:t>13</w:t>
      </w:r>
      <w:r w:rsidRPr="007A404B">
        <w:rPr>
          <w:rFonts w:ascii="Arial" w:hAnsi="Arial" w:cs="Arial"/>
          <w:i/>
          <w:sz w:val="20"/>
        </w:rPr>
        <w:t xml:space="preserve">, Media Notice of Breach </w:t>
      </w:r>
      <w:r w:rsidRPr="007A404B">
        <w:rPr>
          <w:rFonts w:ascii="Arial" w:hAnsi="Arial" w:cs="Arial"/>
          <w:sz w:val="20"/>
        </w:rPr>
        <w:t>and</w:t>
      </w:r>
      <w:r w:rsidRPr="007A404B">
        <w:rPr>
          <w:rFonts w:ascii="Arial" w:hAnsi="Arial" w:cs="Arial"/>
          <w:i/>
          <w:sz w:val="20"/>
        </w:rPr>
        <w:t xml:space="preserve"> Form </w:t>
      </w:r>
      <w:r w:rsidR="007B292B">
        <w:rPr>
          <w:rFonts w:ascii="Arial" w:hAnsi="Arial" w:cs="Arial"/>
          <w:i/>
          <w:sz w:val="20"/>
        </w:rPr>
        <w:t>12</w:t>
      </w:r>
      <w:r w:rsidRPr="007A404B">
        <w:rPr>
          <w:rFonts w:ascii="Arial" w:hAnsi="Arial" w:cs="Arial"/>
          <w:i/>
          <w:sz w:val="20"/>
        </w:rPr>
        <w:t>, Notification to Affected Individuals of Breach</w:t>
      </w:r>
      <w:r w:rsidRPr="007A404B">
        <w:rPr>
          <w:rFonts w:ascii="Arial" w:hAnsi="Arial" w:cs="Arial"/>
          <w:sz w:val="20"/>
        </w:rPr>
        <w:t xml:space="preserve">.  </w:t>
      </w:r>
    </w:p>
    <w:p w:rsidR="007A404B" w:rsidRPr="007A404B" w:rsidRDefault="007A404B" w:rsidP="007A404B">
      <w:pPr>
        <w:tabs>
          <w:tab w:val="left" w:pos="4320"/>
          <w:tab w:val="left" w:pos="5040"/>
          <w:tab w:val="left" w:pos="9360"/>
        </w:tabs>
        <w:spacing w:before="120" w:after="120"/>
        <w:rPr>
          <w:rFonts w:ascii="Arial" w:hAnsi="Arial" w:cs="Arial"/>
          <w:b/>
          <w:sz w:val="20"/>
          <w:u w:val="single"/>
        </w:rPr>
      </w:pPr>
      <w:r w:rsidRPr="007A404B">
        <w:rPr>
          <w:rFonts w:ascii="Arial" w:hAnsi="Arial" w:cs="Arial"/>
          <w:sz w:val="20"/>
        </w:rPr>
        <w:t xml:space="preserve">For these purposes, a Breach is “Discovered” as of the first day on which the Breach is known to us.  We will know of a Breach if any person within our organization (including an employee, officer or agent of ours) knows of the Breach, other than the individual committing the Breach.  A Breach is also “Discovered” if we should reasonably have known about the Breach.  </w:t>
      </w:r>
    </w:p>
    <w:p w:rsidR="007A404B" w:rsidRPr="007A404B" w:rsidRDefault="007A404B" w:rsidP="007A404B">
      <w:pPr>
        <w:tabs>
          <w:tab w:val="left" w:pos="9360"/>
        </w:tabs>
        <w:spacing w:before="120" w:after="120"/>
        <w:rPr>
          <w:rFonts w:ascii="Arial" w:hAnsi="Arial" w:cs="Arial"/>
          <w:sz w:val="20"/>
        </w:rPr>
      </w:pPr>
      <w:r w:rsidRPr="007A404B">
        <w:rPr>
          <w:rFonts w:ascii="Arial" w:hAnsi="Arial" w:cs="Arial"/>
          <w:sz w:val="20"/>
        </w:rPr>
        <w:t xml:space="preserve">Name of Security Official:  </w:t>
      </w:r>
      <w:r w:rsidRPr="007A404B">
        <w:rPr>
          <w:rFonts w:ascii="Arial" w:hAnsi="Arial" w:cs="Arial"/>
          <w:sz w:val="20"/>
          <w:u w:val="single"/>
        </w:rPr>
        <w:tab/>
      </w:r>
    </w:p>
    <w:p w:rsidR="007A404B" w:rsidRPr="007A404B" w:rsidRDefault="007A404B" w:rsidP="007A404B">
      <w:pPr>
        <w:tabs>
          <w:tab w:val="left" w:pos="9360"/>
        </w:tabs>
        <w:spacing w:before="120" w:after="120"/>
        <w:rPr>
          <w:rFonts w:ascii="Arial" w:hAnsi="Arial" w:cs="Arial"/>
          <w:sz w:val="20"/>
          <w:u w:val="single"/>
        </w:rPr>
      </w:pPr>
      <w:r w:rsidRPr="007A404B">
        <w:rPr>
          <w:rFonts w:ascii="Arial" w:hAnsi="Arial" w:cs="Arial"/>
          <w:sz w:val="20"/>
        </w:rPr>
        <w:t xml:space="preserve">Signature:  </w:t>
      </w:r>
      <w:r w:rsidRPr="007A404B">
        <w:rPr>
          <w:rFonts w:ascii="Arial" w:hAnsi="Arial" w:cs="Arial"/>
          <w:sz w:val="20"/>
          <w:u w:val="single"/>
        </w:rPr>
        <w:tab/>
      </w:r>
    </w:p>
    <w:p w:rsidR="007A404B" w:rsidRPr="007A404B" w:rsidRDefault="007A404B" w:rsidP="007A404B">
      <w:pPr>
        <w:tabs>
          <w:tab w:val="left" w:pos="9360"/>
        </w:tabs>
        <w:spacing w:after="120"/>
        <w:rPr>
          <w:rFonts w:ascii="Arial" w:hAnsi="Arial" w:cs="Arial"/>
          <w:sz w:val="20"/>
          <w:u w:val="single"/>
        </w:rPr>
      </w:pPr>
      <w:r w:rsidRPr="007A404B">
        <w:rPr>
          <w:rFonts w:ascii="Arial" w:hAnsi="Arial" w:cs="Arial"/>
          <w:sz w:val="20"/>
        </w:rPr>
        <w:t xml:space="preserve">Date:  </w:t>
      </w:r>
      <w:r w:rsidRPr="007A404B">
        <w:rPr>
          <w:rFonts w:ascii="Arial" w:hAnsi="Arial" w:cs="Arial"/>
          <w:sz w:val="20"/>
          <w:u w:val="single"/>
        </w:rPr>
        <w:tab/>
      </w:r>
    </w:p>
    <w:p w:rsidR="007A404B" w:rsidRPr="007A404B" w:rsidRDefault="007A404B" w:rsidP="007A404B">
      <w:pPr>
        <w:spacing w:line="200" w:lineRule="exact"/>
        <w:rPr>
          <w:rFonts w:ascii="Arial" w:hAnsi="Arial" w:cs="Arial"/>
          <w:sz w:val="20"/>
        </w:rPr>
      </w:pPr>
    </w:p>
    <w:p w:rsidR="007A404B" w:rsidRPr="007A404B" w:rsidRDefault="007A404B" w:rsidP="007A404B">
      <w:pPr>
        <w:spacing w:line="200" w:lineRule="exact"/>
        <w:rPr>
          <w:rFonts w:ascii="Arial" w:hAnsi="Arial" w:cs="Arial"/>
        </w:rPr>
      </w:pPr>
    </w:p>
    <w:p w:rsidR="007A404B" w:rsidRPr="007A404B" w:rsidRDefault="007A404B" w:rsidP="007A404B">
      <w:pPr>
        <w:spacing w:line="200" w:lineRule="exact"/>
        <w:rPr>
          <w:rFonts w:ascii="Arial" w:hAnsi="Arial" w:cs="Arial"/>
        </w:rPr>
      </w:pPr>
    </w:p>
    <w:p w:rsidR="00D9710E" w:rsidRDefault="00D9710E" w:rsidP="007A404B">
      <w:pPr>
        <w:rPr>
          <w:rFonts w:ascii="Arial" w:hAnsi="Arial" w:cs="Arial"/>
        </w:rPr>
      </w:pPr>
    </w:p>
    <w:p w:rsidR="0040504E" w:rsidRDefault="00D9710E" w:rsidP="00D9710E">
      <w:pPr>
        <w:spacing w:line="200" w:lineRule="exact"/>
      </w:pPr>
      <w:r w:rsidRPr="00D9710E">
        <w:rPr>
          <w:rStyle w:val="zzmpTrailerItem"/>
        </w:rPr>
        <w:t>QB\21427345.1</w:t>
      </w:r>
      <w:r w:rsidRPr="00D9710E">
        <w:t xml:space="preserve"> </w:t>
      </w:r>
    </w:p>
    <w:sectPr w:rsidR="0040504E" w:rsidSect="003935F8">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36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2BB" w:rsidRDefault="003612BB">
      <w:r>
        <w:separator/>
      </w:r>
    </w:p>
  </w:endnote>
  <w:endnote w:type="continuationSeparator" w:id="0">
    <w:p w:rsidR="003612BB" w:rsidRDefault="0036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stminster">
    <w:altName w:val="Courier New"/>
    <w:charset w:val="00"/>
    <w:family w:val="decorativ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82" w:rsidRPr="00E64B7A" w:rsidRDefault="00F05441">
    <w:pPr>
      <w:pStyle w:val="Footer"/>
      <w:framePr w:wrap="around" w:vAnchor="text" w:hAnchor="margin" w:xAlign="center" w:y="1"/>
      <w:rPr>
        <w:rStyle w:val="PageNumber"/>
        <w:rFonts w:ascii="Arial" w:hAnsi="Arial"/>
      </w:rPr>
    </w:pPr>
    <w:r>
      <w:rPr>
        <w:rStyle w:val="PageNumber"/>
      </w:rPr>
      <w:fldChar w:fldCharType="begin"/>
    </w:r>
    <w:r w:rsidR="00A57782">
      <w:rPr>
        <w:rStyle w:val="PageNumber"/>
      </w:rPr>
      <w:instrText xml:space="preserve">PAGE  </w:instrText>
    </w:r>
    <w:r>
      <w:rPr>
        <w:rStyle w:val="PageNumber"/>
      </w:rPr>
      <w:fldChar w:fldCharType="end"/>
    </w:r>
  </w:p>
  <w:p w:rsidR="00A57782" w:rsidRPr="00E64B7A" w:rsidRDefault="00A57782">
    <w:pPr>
      <w:pStyle w:val="Footer"/>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82" w:rsidRPr="00E64B7A" w:rsidRDefault="00F05441">
    <w:pPr>
      <w:pStyle w:val="Footer"/>
      <w:framePr w:wrap="around" w:vAnchor="text" w:hAnchor="margin" w:xAlign="center" w:y="1"/>
      <w:rPr>
        <w:rStyle w:val="PageNumber"/>
        <w:rFonts w:ascii="Arial" w:hAnsi="Arial"/>
        <w:sz w:val="20"/>
      </w:rPr>
    </w:pPr>
    <w:r w:rsidRPr="00E64B7A">
      <w:rPr>
        <w:rStyle w:val="PageNumber"/>
        <w:rFonts w:ascii="Arial" w:hAnsi="Arial"/>
        <w:sz w:val="20"/>
      </w:rPr>
      <w:fldChar w:fldCharType="begin"/>
    </w:r>
    <w:r w:rsidR="00A57782" w:rsidRPr="00E64B7A">
      <w:rPr>
        <w:rStyle w:val="PageNumber"/>
        <w:rFonts w:ascii="Arial" w:hAnsi="Arial"/>
        <w:sz w:val="20"/>
      </w:rPr>
      <w:instrText xml:space="preserve">PAGE  </w:instrText>
    </w:r>
    <w:r w:rsidRPr="00E64B7A">
      <w:rPr>
        <w:rStyle w:val="PageNumber"/>
        <w:rFonts w:ascii="Arial" w:hAnsi="Arial"/>
        <w:sz w:val="20"/>
      </w:rPr>
      <w:fldChar w:fldCharType="separate"/>
    </w:r>
    <w:r w:rsidR="0081546A">
      <w:rPr>
        <w:rStyle w:val="PageNumber"/>
        <w:rFonts w:ascii="Arial" w:hAnsi="Arial"/>
        <w:noProof/>
        <w:sz w:val="20"/>
      </w:rPr>
      <w:t>3</w:t>
    </w:r>
    <w:r w:rsidRPr="00E64B7A">
      <w:rPr>
        <w:rStyle w:val="PageNumber"/>
        <w:rFonts w:ascii="Arial" w:hAnsi="Arial"/>
        <w:sz w:val="20"/>
      </w:rPr>
      <w:fldChar w:fldCharType="end"/>
    </w:r>
  </w:p>
  <w:p w:rsidR="008D7ADB" w:rsidRPr="00E64B7A" w:rsidRDefault="008D7ADB" w:rsidP="008D7ADB">
    <w:pPr>
      <w:pStyle w:val="Footer"/>
      <w:rPr>
        <w:rFonts w:ascii="Arial" w:hAnsi="Arial"/>
        <w:sz w:val="16"/>
      </w:rPr>
    </w:pPr>
    <w:r w:rsidRPr="00E64B7A">
      <w:rPr>
        <w:rFonts w:ascii="Arial" w:hAnsi="Arial"/>
        <w:sz w:val="16"/>
      </w:rPr>
      <w:t>Version 0</w:t>
    </w:r>
    <w:r w:rsidR="003935F8">
      <w:rPr>
        <w:rFonts w:ascii="Arial" w:hAnsi="Arial"/>
        <w:sz w:val="16"/>
      </w:rPr>
      <w:t>5/01</w:t>
    </w:r>
    <w:r w:rsidRPr="00E64B7A">
      <w:rPr>
        <w:rFonts w:ascii="Arial" w:hAnsi="Arial"/>
        <w:sz w:val="16"/>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B7A" w:rsidRDefault="008D7ADB" w:rsidP="008D7ADB">
    <w:pPr>
      <w:pStyle w:val="Footer"/>
      <w:rPr>
        <w:rFonts w:ascii="Arial" w:hAnsi="Arial"/>
        <w:sz w:val="16"/>
      </w:rPr>
    </w:pPr>
    <w:r w:rsidRPr="00E64B7A">
      <w:rPr>
        <w:rFonts w:ascii="Arial" w:hAnsi="Arial"/>
        <w:sz w:val="16"/>
      </w:rPr>
      <w:t xml:space="preserve">Version </w:t>
    </w:r>
    <w:r w:rsidR="003935F8">
      <w:rPr>
        <w:rFonts w:ascii="Arial" w:hAnsi="Arial"/>
        <w:sz w:val="16"/>
      </w:rPr>
      <w:t>05/01</w:t>
    </w:r>
    <w:r w:rsidRPr="00E64B7A">
      <w:rPr>
        <w:rFonts w:ascii="Arial" w:hAnsi="Arial"/>
        <w:sz w:val="16"/>
      </w:rPr>
      <w:t>/13</w:t>
    </w:r>
  </w:p>
  <w:p w:rsidR="008D7ADB" w:rsidRPr="00E64B7A" w:rsidRDefault="008D7ADB" w:rsidP="00E64B7A">
    <w:pPr>
      <w:pStyle w:val="Footer"/>
      <w:spacing w:line="200" w:lineRule="exac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2BB" w:rsidRDefault="003612BB">
      <w:r>
        <w:separator/>
      </w:r>
    </w:p>
  </w:footnote>
  <w:footnote w:type="continuationSeparator" w:id="0">
    <w:p w:rsidR="003612BB" w:rsidRDefault="00361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82" w:rsidRDefault="00A57782">
    <w:pPr>
      <w:pStyle w:val="Header"/>
      <w:rPr>
        <w:rFonts w:ascii="Arial" w:hAnsi="Arial"/>
        <w:sz w:val="16"/>
        <w:szCs w:val="16"/>
      </w:rPr>
    </w:pPr>
    <w:r w:rsidRPr="00E64B7A">
      <w:rPr>
        <w:rFonts w:ascii="Arial" w:hAnsi="Arial"/>
      </w:rPr>
      <w:tab/>
    </w:r>
    <w:r w:rsidRPr="00E64B7A">
      <w:rPr>
        <w:rFonts w:ascii="Arial" w:hAnsi="Arial"/>
      </w:rPr>
      <w:tab/>
    </w:r>
    <w:r w:rsidRPr="00E64B7A">
      <w:rPr>
        <w:rFonts w:ascii="Arial" w:hAnsi="Arial"/>
        <w:sz w:val="16"/>
        <w:szCs w:val="16"/>
      </w:rPr>
      <w:t xml:space="preserve">HIPAA FORM </w:t>
    </w:r>
    <w:r w:rsidR="003A63A8">
      <w:rPr>
        <w:rFonts w:ascii="Arial" w:hAnsi="Arial"/>
        <w:sz w:val="16"/>
        <w:szCs w:val="16"/>
      </w:rPr>
      <w:t>10</w:t>
    </w:r>
  </w:p>
  <w:p w:rsidR="00E64B7A" w:rsidRPr="00E64B7A" w:rsidRDefault="00E64B7A">
    <w:pPr>
      <w:pStyle w:val="Header"/>
      <w:rPr>
        <w:rFonts w:ascii="Arial" w:hAnsi="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782" w:rsidRPr="00E64B7A" w:rsidRDefault="00A57782">
    <w:pPr>
      <w:pStyle w:val="Header"/>
      <w:rPr>
        <w:rFonts w:ascii="Arial" w:hAnsi="Arial"/>
        <w:sz w:val="16"/>
      </w:rPr>
    </w:pPr>
    <w:r w:rsidRPr="00E64B7A">
      <w:rPr>
        <w:rFonts w:ascii="Arial" w:hAnsi="Arial"/>
        <w:sz w:val="16"/>
      </w:rPr>
      <w:tab/>
    </w:r>
    <w:r w:rsidRPr="00E64B7A">
      <w:rPr>
        <w:rFonts w:ascii="Arial" w:hAnsi="Arial"/>
        <w:sz w:val="16"/>
      </w:rPr>
      <w:tab/>
      <w:t xml:space="preserve">HIPAA FORM </w:t>
    </w:r>
    <w:r w:rsidR="003A63A8">
      <w:rPr>
        <w:rFonts w:ascii="Arial" w:hAnsi="Arial"/>
        <w:sz w:val="16"/>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7F4"/>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
    <w:nsid w:val="1A323267"/>
    <w:multiLevelType w:val="singleLevel"/>
    <w:tmpl w:val="2408CBAC"/>
    <w:lvl w:ilvl="0">
      <w:start w:val="1"/>
      <w:numFmt w:val="decimal"/>
      <w:pStyle w:val="mbfNum1stD"/>
      <w:lvlText w:val="%1."/>
      <w:lvlJc w:val="left"/>
      <w:pPr>
        <w:tabs>
          <w:tab w:val="num" w:pos="1080"/>
        </w:tabs>
        <w:ind w:left="0" w:firstLine="720"/>
      </w:pPr>
    </w:lvl>
  </w:abstractNum>
  <w:abstractNum w:abstractNumId="2">
    <w:nsid w:val="2E553B45"/>
    <w:multiLevelType w:val="singleLevel"/>
    <w:tmpl w:val="26B0A546"/>
    <w:lvl w:ilvl="0">
      <w:start w:val="5"/>
      <w:numFmt w:val="bullet"/>
      <w:lvlText w:val=""/>
      <w:lvlJc w:val="left"/>
      <w:pPr>
        <w:tabs>
          <w:tab w:val="num" w:pos="630"/>
        </w:tabs>
        <w:ind w:left="630" w:hanging="360"/>
      </w:pPr>
      <w:rPr>
        <w:rFonts w:ascii="Wingdings" w:hAnsi="Wingdings" w:hint="default"/>
      </w:rPr>
    </w:lvl>
  </w:abstractNum>
  <w:abstractNum w:abstractNumId="3">
    <w:nsid w:val="2F546029"/>
    <w:multiLevelType w:val="singleLevel"/>
    <w:tmpl w:val="5DAADFCC"/>
    <w:lvl w:ilvl="0">
      <w:start w:val="1"/>
      <w:numFmt w:val="decimal"/>
      <w:pStyle w:val="mbfNum1st"/>
      <w:lvlText w:val="%1."/>
      <w:lvlJc w:val="left"/>
      <w:pPr>
        <w:tabs>
          <w:tab w:val="num" w:pos="1080"/>
        </w:tabs>
        <w:ind w:left="0" w:firstLine="720"/>
      </w:pPr>
    </w:lvl>
  </w:abstractNum>
  <w:abstractNum w:abstractNumId="4">
    <w:nsid w:val="391E019B"/>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5">
    <w:nsid w:val="3F8F069E"/>
    <w:multiLevelType w:val="singleLevel"/>
    <w:tmpl w:val="0409000F"/>
    <w:lvl w:ilvl="0">
      <w:start w:val="1"/>
      <w:numFmt w:val="decimal"/>
      <w:lvlText w:val="%1."/>
      <w:lvlJc w:val="left"/>
      <w:pPr>
        <w:tabs>
          <w:tab w:val="num" w:pos="360"/>
        </w:tabs>
        <w:ind w:left="360" w:hanging="360"/>
      </w:pPr>
    </w:lvl>
  </w:abstractNum>
  <w:abstractNum w:abstractNumId="6">
    <w:nsid w:val="4CBA4776"/>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7">
    <w:nsid w:val="56CA54FD"/>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8">
    <w:nsid w:val="57DE34F2"/>
    <w:multiLevelType w:val="singleLevel"/>
    <w:tmpl w:val="99B4F6AC"/>
    <w:lvl w:ilvl="0">
      <w:start w:val="1"/>
      <w:numFmt w:val="bullet"/>
      <w:lvlText w:val=""/>
      <w:lvlJc w:val="left"/>
      <w:pPr>
        <w:tabs>
          <w:tab w:val="num" w:pos="360"/>
        </w:tabs>
        <w:ind w:left="360" w:hanging="360"/>
      </w:pPr>
      <w:rPr>
        <w:rFonts w:ascii="Westminster" w:hAnsi="Westminster" w:hint="default"/>
        <w:sz w:val="16"/>
      </w:rPr>
    </w:lvl>
  </w:abstractNum>
  <w:abstractNum w:abstractNumId="9">
    <w:nsid w:val="64014FE6"/>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0">
    <w:nsid w:val="679D4AAE"/>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1">
    <w:nsid w:val="6D8026EC"/>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12">
    <w:nsid w:val="70B76826"/>
    <w:multiLevelType w:val="singleLevel"/>
    <w:tmpl w:val="B442C1E4"/>
    <w:lvl w:ilvl="0">
      <w:start w:val="5"/>
      <w:numFmt w:val="bullet"/>
      <w:lvlText w:val=""/>
      <w:lvlJc w:val="left"/>
      <w:pPr>
        <w:tabs>
          <w:tab w:val="num" w:pos="630"/>
        </w:tabs>
        <w:ind w:left="630" w:hanging="360"/>
      </w:pPr>
      <w:rPr>
        <w:rFonts w:ascii="Wingdings" w:hAnsi="Wingdings" w:hint="default"/>
      </w:rPr>
    </w:lvl>
  </w:abstractNum>
  <w:abstractNum w:abstractNumId="13">
    <w:nsid w:val="71B1608C"/>
    <w:multiLevelType w:val="singleLevel"/>
    <w:tmpl w:val="1BB2BD92"/>
    <w:lvl w:ilvl="0">
      <w:start w:val="1"/>
      <w:numFmt w:val="decimal"/>
      <w:pStyle w:val="mbfNumber"/>
      <w:lvlText w:val="%1."/>
      <w:lvlJc w:val="left"/>
      <w:pPr>
        <w:tabs>
          <w:tab w:val="num" w:pos="720"/>
        </w:tabs>
        <w:ind w:left="720" w:hanging="720"/>
      </w:pPr>
    </w:lvl>
  </w:abstractNum>
  <w:num w:numId="1">
    <w:abstractNumId w:val="3"/>
  </w:num>
  <w:num w:numId="2">
    <w:abstractNumId w:val="1"/>
  </w:num>
  <w:num w:numId="3">
    <w:abstractNumId w:val="13"/>
  </w:num>
  <w:num w:numId="4">
    <w:abstractNumId w:val="11"/>
  </w:num>
  <w:num w:numId="5">
    <w:abstractNumId w:val="7"/>
  </w:num>
  <w:num w:numId="6">
    <w:abstractNumId w:val="0"/>
  </w:num>
  <w:num w:numId="7">
    <w:abstractNumId w:val="4"/>
  </w:num>
  <w:num w:numId="8">
    <w:abstractNumId w:val="8"/>
  </w:num>
  <w:num w:numId="9">
    <w:abstractNumId w:val="9"/>
  </w:num>
  <w:num w:numId="10">
    <w:abstractNumId w:val="10"/>
  </w:num>
  <w:num w:numId="11">
    <w:abstractNumId w:val="6"/>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printColBlack/>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85TrailerClientMatter" w:val="0"/>
    <w:docVar w:name="85TrailerDate" w:val="0"/>
    <w:docVar w:name="85TrailerDateField" w:val="0"/>
    <w:docVar w:name="85TrailerDraft" w:val="0"/>
    <w:docVar w:name="85TrailerTime" w:val="0"/>
    <w:docVar w:name="85TrailerType" w:val="101"/>
    <w:docVar w:name="DocStamp_1_IncludeClientMatter" w:val="0"/>
    <w:docVar w:name="iTrailerType" w:val="1"/>
    <w:docVar w:name="MPDocID" w:val="QB\21427345.1"/>
    <w:docVar w:name="MPDocIDTemplate" w:val="QB\|%n|.%v"/>
    <w:docVar w:name="MPDocIDTemplateDefault" w:val="QB\|%n|.%v"/>
    <w:docVar w:name="NewDocStampType" w:val="2"/>
    <w:docVar w:name="zzmpFixedDOC_ID" w:val="T:\clienta\045146\0001\A0920701.1"/>
  </w:docVars>
  <w:rsids>
    <w:rsidRoot w:val="006F5DC6"/>
    <w:rsid w:val="000D56E3"/>
    <w:rsid w:val="0026575A"/>
    <w:rsid w:val="003051EB"/>
    <w:rsid w:val="003114D6"/>
    <w:rsid w:val="00312C72"/>
    <w:rsid w:val="003612BB"/>
    <w:rsid w:val="003854EB"/>
    <w:rsid w:val="003935F8"/>
    <w:rsid w:val="003A63A8"/>
    <w:rsid w:val="0040504E"/>
    <w:rsid w:val="005134A0"/>
    <w:rsid w:val="005D1DC5"/>
    <w:rsid w:val="006F5DC6"/>
    <w:rsid w:val="007A404B"/>
    <w:rsid w:val="007B292B"/>
    <w:rsid w:val="0081546A"/>
    <w:rsid w:val="00827420"/>
    <w:rsid w:val="008D7ADB"/>
    <w:rsid w:val="00954E4B"/>
    <w:rsid w:val="00A57782"/>
    <w:rsid w:val="00AC38C9"/>
    <w:rsid w:val="00B95A56"/>
    <w:rsid w:val="00C1481F"/>
    <w:rsid w:val="00D42061"/>
    <w:rsid w:val="00D9710E"/>
    <w:rsid w:val="00E21627"/>
    <w:rsid w:val="00E64B7A"/>
    <w:rsid w:val="00EE0653"/>
    <w:rsid w:val="00F05441"/>
    <w:rsid w:val="00F12722"/>
    <w:rsid w:val="00FE39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4E4B"/>
    <w:rPr>
      <w:sz w:val="24"/>
    </w:rPr>
  </w:style>
  <w:style w:type="paragraph" w:styleId="Heading1">
    <w:name w:val="heading 1"/>
    <w:basedOn w:val="Normal"/>
    <w:next w:val="Normal"/>
    <w:qFormat/>
    <w:rsid w:val="00954E4B"/>
    <w:pPr>
      <w:keepNext/>
      <w:tabs>
        <w:tab w:val="left" w:pos="7920"/>
      </w:tabs>
      <w:spacing w:before="120" w:after="120"/>
      <w:outlineLvl w:val="0"/>
    </w:pPr>
    <w:rPr>
      <w:b/>
      <w:sz w:val="20"/>
      <w:u w:val="single"/>
    </w:rPr>
  </w:style>
  <w:style w:type="paragraph" w:styleId="Heading2">
    <w:name w:val="heading 2"/>
    <w:basedOn w:val="Normal"/>
    <w:next w:val="Normal"/>
    <w:qFormat/>
    <w:rsid w:val="00954E4B"/>
    <w:pPr>
      <w:keepNext/>
      <w:spacing w:after="24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4E4B"/>
    <w:rPr>
      <w:vertAlign w:val="superscript"/>
    </w:rPr>
  </w:style>
  <w:style w:type="paragraph" w:styleId="FootnoteText">
    <w:name w:val="footnote text"/>
    <w:basedOn w:val="Normal"/>
    <w:semiHidden/>
    <w:rsid w:val="00954E4B"/>
    <w:pPr>
      <w:tabs>
        <w:tab w:val="left" w:pos="360"/>
      </w:tabs>
      <w:spacing w:after="240"/>
      <w:ind w:left="360" w:hanging="360"/>
    </w:pPr>
    <w:rPr>
      <w:sz w:val="20"/>
    </w:rPr>
  </w:style>
  <w:style w:type="paragraph" w:customStyle="1" w:styleId="DocX97Comment">
    <w:name w:val="DocX97Comment"/>
    <w:basedOn w:val="Normal"/>
    <w:rsid w:val="00954E4B"/>
    <w:rPr>
      <w:b/>
      <w:i/>
      <w:color w:val="FF0000"/>
      <w:sz w:val="16"/>
    </w:rPr>
  </w:style>
  <w:style w:type="character" w:customStyle="1" w:styleId="ParaNum">
    <w:name w:val="ParaNum"/>
    <w:basedOn w:val="DefaultParagraphFont"/>
    <w:rsid w:val="00954E4B"/>
  </w:style>
  <w:style w:type="paragraph" w:styleId="Footer">
    <w:name w:val="footer"/>
    <w:basedOn w:val="Normal"/>
    <w:link w:val="FooterChar"/>
    <w:uiPriority w:val="99"/>
    <w:rsid w:val="00954E4B"/>
    <w:pPr>
      <w:tabs>
        <w:tab w:val="center" w:pos="4680"/>
        <w:tab w:val="right" w:pos="9360"/>
      </w:tabs>
    </w:pPr>
  </w:style>
  <w:style w:type="paragraph" w:styleId="EndnoteText">
    <w:name w:val="endnote text"/>
    <w:basedOn w:val="Normal"/>
    <w:semiHidden/>
    <w:rsid w:val="00954E4B"/>
    <w:pPr>
      <w:spacing w:after="240"/>
    </w:pPr>
  </w:style>
  <w:style w:type="paragraph" w:customStyle="1" w:styleId="FootnoteTextMore">
    <w:name w:val="Footnote TextMore"/>
    <w:basedOn w:val="FootnoteText"/>
    <w:rsid w:val="00954E4B"/>
    <w:pPr>
      <w:widowControl w:val="0"/>
      <w:tabs>
        <w:tab w:val="clear" w:pos="360"/>
        <w:tab w:val="left" w:pos="432"/>
      </w:tabs>
      <w:spacing w:after="120"/>
      <w:ind w:left="432" w:firstLine="0"/>
    </w:pPr>
  </w:style>
  <w:style w:type="paragraph" w:customStyle="1" w:styleId="EndnoteTextMore">
    <w:name w:val="Endnote TextMore"/>
    <w:basedOn w:val="Normal"/>
    <w:rsid w:val="00954E4B"/>
    <w:pPr>
      <w:spacing w:after="120"/>
      <w:ind w:firstLine="432"/>
    </w:pPr>
    <w:rPr>
      <w:rFonts w:ascii="Univers" w:hAnsi="Univers"/>
      <w:sz w:val="20"/>
    </w:rPr>
  </w:style>
  <w:style w:type="paragraph" w:customStyle="1" w:styleId="mbfBL">
    <w:name w:val="mbfBL"/>
    <w:aliases w:val="bl"/>
    <w:basedOn w:val="Normal"/>
    <w:rsid w:val="00954E4B"/>
    <w:pPr>
      <w:suppressAutoHyphens/>
      <w:spacing w:after="240"/>
    </w:pPr>
  </w:style>
  <w:style w:type="paragraph" w:customStyle="1" w:styleId="mbfBL1">
    <w:name w:val="mbfBL1"/>
    <w:aliases w:val="bl1"/>
    <w:basedOn w:val="Normal"/>
    <w:rsid w:val="00954E4B"/>
    <w:pPr>
      <w:suppressAutoHyphens/>
      <w:spacing w:after="240"/>
      <w:ind w:left="720"/>
    </w:pPr>
  </w:style>
  <w:style w:type="paragraph" w:customStyle="1" w:styleId="mbfBL1D">
    <w:name w:val="mbfBL1D"/>
    <w:aliases w:val="bl1d"/>
    <w:basedOn w:val="Normal"/>
    <w:rsid w:val="00954E4B"/>
    <w:pPr>
      <w:suppressAutoHyphens/>
      <w:spacing w:line="480" w:lineRule="auto"/>
      <w:ind w:left="720"/>
    </w:pPr>
  </w:style>
  <w:style w:type="paragraph" w:customStyle="1" w:styleId="mbfBL1j">
    <w:name w:val="mbfBL1j"/>
    <w:aliases w:val="bl1j"/>
    <w:basedOn w:val="Normal"/>
    <w:rsid w:val="00954E4B"/>
    <w:pPr>
      <w:suppressAutoHyphens/>
      <w:spacing w:after="240"/>
      <w:ind w:left="720"/>
      <w:jc w:val="both"/>
    </w:pPr>
  </w:style>
  <w:style w:type="paragraph" w:customStyle="1" w:styleId="mbfBL1jD">
    <w:name w:val="mbfBL1jD"/>
    <w:aliases w:val="bl1jD"/>
    <w:basedOn w:val="Normal"/>
    <w:rsid w:val="00954E4B"/>
    <w:pPr>
      <w:suppressAutoHyphens/>
      <w:spacing w:line="480" w:lineRule="auto"/>
      <w:ind w:left="720"/>
      <w:jc w:val="both"/>
    </w:pPr>
  </w:style>
  <w:style w:type="paragraph" w:customStyle="1" w:styleId="mbfBL2">
    <w:name w:val="mbfBL2"/>
    <w:aliases w:val="bl2"/>
    <w:basedOn w:val="Normal"/>
    <w:rsid w:val="00954E4B"/>
    <w:pPr>
      <w:suppressAutoHyphens/>
      <w:spacing w:after="240"/>
      <w:ind w:left="1440"/>
    </w:pPr>
  </w:style>
  <w:style w:type="paragraph" w:customStyle="1" w:styleId="mbfBL2D">
    <w:name w:val="mbfBL2D"/>
    <w:aliases w:val="bl2d"/>
    <w:basedOn w:val="Normal"/>
    <w:rsid w:val="00954E4B"/>
    <w:pPr>
      <w:suppressAutoHyphens/>
      <w:spacing w:line="480" w:lineRule="auto"/>
      <w:ind w:left="1440"/>
    </w:pPr>
  </w:style>
  <w:style w:type="paragraph" w:customStyle="1" w:styleId="mbfBL2j">
    <w:name w:val="mbfBL2j"/>
    <w:aliases w:val="bl2j"/>
    <w:basedOn w:val="Normal"/>
    <w:rsid w:val="00954E4B"/>
    <w:pPr>
      <w:suppressAutoHyphens/>
      <w:spacing w:after="240"/>
      <w:ind w:left="1440"/>
      <w:jc w:val="both"/>
    </w:pPr>
  </w:style>
  <w:style w:type="paragraph" w:customStyle="1" w:styleId="mbfBL2jD">
    <w:name w:val="mbfBL2jD"/>
    <w:aliases w:val="bl2jd"/>
    <w:basedOn w:val="Normal"/>
    <w:rsid w:val="00954E4B"/>
    <w:pPr>
      <w:suppressAutoHyphens/>
      <w:spacing w:line="480" w:lineRule="auto"/>
      <w:ind w:left="1440"/>
      <w:jc w:val="both"/>
    </w:pPr>
  </w:style>
  <w:style w:type="paragraph" w:customStyle="1" w:styleId="mbfBLD">
    <w:name w:val="mbfBLD"/>
    <w:aliases w:val="bld"/>
    <w:basedOn w:val="Normal"/>
    <w:rsid w:val="00954E4B"/>
    <w:pPr>
      <w:suppressAutoHyphens/>
      <w:spacing w:line="480" w:lineRule="auto"/>
    </w:pPr>
  </w:style>
  <w:style w:type="paragraph" w:customStyle="1" w:styleId="mbfBLj">
    <w:name w:val="mbfBLj"/>
    <w:aliases w:val="blj"/>
    <w:basedOn w:val="Normal"/>
    <w:rsid w:val="00954E4B"/>
    <w:pPr>
      <w:suppressAutoHyphens/>
      <w:spacing w:after="240"/>
      <w:jc w:val="both"/>
    </w:pPr>
  </w:style>
  <w:style w:type="paragraph" w:customStyle="1" w:styleId="mbfBLjD">
    <w:name w:val="mbfBLjD"/>
    <w:aliases w:val="bljd"/>
    <w:basedOn w:val="Normal"/>
    <w:rsid w:val="00954E4B"/>
    <w:pPr>
      <w:suppressAutoHyphens/>
      <w:spacing w:line="480" w:lineRule="auto"/>
      <w:jc w:val="both"/>
    </w:pPr>
  </w:style>
  <w:style w:type="paragraph" w:customStyle="1" w:styleId="mbfBod">
    <w:name w:val="mbfBod"/>
    <w:aliases w:val="b"/>
    <w:basedOn w:val="Normal"/>
    <w:rsid w:val="00954E4B"/>
    <w:pPr>
      <w:suppressAutoHyphens/>
      <w:spacing w:after="240"/>
      <w:ind w:firstLine="720"/>
    </w:pPr>
  </w:style>
  <w:style w:type="paragraph" w:customStyle="1" w:styleId="mbfBod1">
    <w:name w:val="mbfBod1"/>
    <w:aliases w:val="b1"/>
    <w:basedOn w:val="Normal"/>
    <w:rsid w:val="00954E4B"/>
    <w:pPr>
      <w:suppressAutoHyphens/>
      <w:spacing w:after="240"/>
      <w:ind w:firstLine="1440"/>
    </w:pPr>
  </w:style>
  <w:style w:type="paragraph" w:customStyle="1" w:styleId="mbfBod1D">
    <w:name w:val="mbfBod1D"/>
    <w:aliases w:val="b1d"/>
    <w:basedOn w:val="Normal"/>
    <w:rsid w:val="00954E4B"/>
    <w:pPr>
      <w:suppressAutoHyphens/>
      <w:spacing w:line="480" w:lineRule="auto"/>
      <w:ind w:firstLine="1440"/>
    </w:pPr>
  </w:style>
  <w:style w:type="paragraph" w:customStyle="1" w:styleId="mbfBod1j">
    <w:name w:val="mbfBod1j"/>
    <w:aliases w:val="b1j"/>
    <w:basedOn w:val="Normal"/>
    <w:rsid w:val="00954E4B"/>
    <w:pPr>
      <w:suppressAutoHyphens/>
      <w:spacing w:after="240"/>
      <w:ind w:firstLine="1440"/>
      <w:jc w:val="both"/>
    </w:pPr>
  </w:style>
  <w:style w:type="paragraph" w:customStyle="1" w:styleId="mbfBod1jD">
    <w:name w:val="mbfBod1jD"/>
    <w:aliases w:val="b1jd"/>
    <w:basedOn w:val="Normal"/>
    <w:rsid w:val="00954E4B"/>
    <w:pPr>
      <w:suppressAutoHyphens/>
      <w:spacing w:line="480" w:lineRule="auto"/>
      <w:ind w:firstLine="1440"/>
    </w:pPr>
  </w:style>
  <w:style w:type="paragraph" w:customStyle="1" w:styleId="mbfBodD">
    <w:name w:val="mbfBodD"/>
    <w:aliases w:val="bd"/>
    <w:basedOn w:val="Normal"/>
    <w:rsid w:val="00954E4B"/>
    <w:pPr>
      <w:suppressAutoHyphens/>
      <w:spacing w:line="480" w:lineRule="auto"/>
      <w:ind w:firstLine="720"/>
    </w:pPr>
  </w:style>
  <w:style w:type="paragraph" w:customStyle="1" w:styleId="mbfBodj">
    <w:name w:val="mbfBodj"/>
    <w:aliases w:val="bj"/>
    <w:basedOn w:val="Normal"/>
    <w:rsid w:val="00954E4B"/>
    <w:pPr>
      <w:suppressAutoHyphens/>
      <w:spacing w:after="240"/>
      <w:ind w:firstLine="720"/>
      <w:jc w:val="both"/>
    </w:pPr>
  </w:style>
  <w:style w:type="paragraph" w:customStyle="1" w:styleId="mbfBodjD">
    <w:name w:val="mbfBodjD"/>
    <w:aliases w:val="bjd"/>
    <w:basedOn w:val="Normal"/>
    <w:rsid w:val="00954E4B"/>
    <w:pPr>
      <w:suppressAutoHyphens/>
      <w:spacing w:line="480" w:lineRule="auto"/>
      <w:ind w:firstLine="720"/>
      <w:jc w:val="both"/>
    </w:pPr>
  </w:style>
  <w:style w:type="paragraph" w:customStyle="1" w:styleId="mbfHang">
    <w:name w:val="mbfHang"/>
    <w:aliases w:val="h"/>
    <w:basedOn w:val="Normal"/>
    <w:rsid w:val="00954E4B"/>
    <w:pPr>
      <w:suppressAutoHyphens/>
      <w:spacing w:after="240"/>
      <w:ind w:left="720" w:hanging="720"/>
    </w:pPr>
  </w:style>
  <w:style w:type="paragraph" w:customStyle="1" w:styleId="mbfHang2">
    <w:name w:val="mbfHang2"/>
    <w:aliases w:val="h2"/>
    <w:basedOn w:val="Normal"/>
    <w:rsid w:val="00954E4B"/>
    <w:pPr>
      <w:suppressAutoHyphens/>
      <w:spacing w:after="240"/>
      <w:ind w:left="1440" w:hanging="720"/>
    </w:pPr>
  </w:style>
  <w:style w:type="paragraph" w:customStyle="1" w:styleId="mbfHang2D">
    <w:name w:val="mbfHang2D"/>
    <w:aliases w:val="h2d"/>
    <w:basedOn w:val="Normal"/>
    <w:rsid w:val="00954E4B"/>
    <w:pPr>
      <w:suppressAutoHyphens/>
      <w:spacing w:line="480" w:lineRule="auto"/>
      <w:ind w:left="1440" w:hanging="720"/>
    </w:pPr>
  </w:style>
  <w:style w:type="paragraph" w:customStyle="1" w:styleId="mbfHangD">
    <w:name w:val="mbfHangD"/>
    <w:aliases w:val="hd"/>
    <w:basedOn w:val="Normal"/>
    <w:rsid w:val="00954E4B"/>
    <w:pPr>
      <w:suppressAutoHyphens/>
      <w:spacing w:line="480" w:lineRule="auto"/>
      <w:ind w:left="720" w:hanging="720"/>
    </w:pPr>
  </w:style>
  <w:style w:type="paragraph" w:customStyle="1" w:styleId="mbfNum1st">
    <w:name w:val="mbfNum1st"/>
    <w:aliases w:val="n1"/>
    <w:basedOn w:val="Normal"/>
    <w:rsid w:val="00954E4B"/>
    <w:pPr>
      <w:numPr>
        <w:numId w:val="1"/>
      </w:numPr>
      <w:tabs>
        <w:tab w:val="clear" w:pos="1080"/>
      </w:tabs>
      <w:suppressAutoHyphens/>
      <w:spacing w:after="240"/>
    </w:pPr>
  </w:style>
  <w:style w:type="paragraph" w:customStyle="1" w:styleId="mbfNum1stD">
    <w:name w:val="mbfNum1stD"/>
    <w:aliases w:val="n1d"/>
    <w:basedOn w:val="Normal"/>
    <w:rsid w:val="00954E4B"/>
    <w:pPr>
      <w:numPr>
        <w:numId w:val="2"/>
      </w:numPr>
      <w:tabs>
        <w:tab w:val="clear" w:pos="1080"/>
      </w:tabs>
      <w:suppressAutoHyphens/>
      <w:spacing w:line="480" w:lineRule="auto"/>
    </w:pPr>
  </w:style>
  <w:style w:type="paragraph" w:customStyle="1" w:styleId="mbfNumber">
    <w:name w:val="mbfNumber"/>
    <w:aliases w:val="n"/>
    <w:basedOn w:val="Normal"/>
    <w:rsid w:val="00954E4B"/>
    <w:pPr>
      <w:numPr>
        <w:numId w:val="3"/>
      </w:numPr>
      <w:suppressAutoHyphens/>
      <w:spacing w:after="240"/>
    </w:pPr>
  </w:style>
  <w:style w:type="paragraph" w:customStyle="1" w:styleId="mbfQuote">
    <w:name w:val="mbfQuote"/>
    <w:aliases w:val="q"/>
    <w:basedOn w:val="Normal"/>
    <w:rsid w:val="00954E4B"/>
    <w:pPr>
      <w:suppressAutoHyphens/>
      <w:spacing w:after="240"/>
      <w:ind w:left="720" w:right="720"/>
    </w:pPr>
  </w:style>
  <w:style w:type="paragraph" w:customStyle="1" w:styleId="mbfQuoteD">
    <w:name w:val="mbfQuoteD"/>
    <w:aliases w:val="qd"/>
    <w:basedOn w:val="Normal"/>
    <w:rsid w:val="00954E4B"/>
    <w:pPr>
      <w:suppressAutoHyphens/>
      <w:spacing w:line="480" w:lineRule="auto"/>
      <w:ind w:left="720" w:right="720"/>
    </w:pPr>
  </w:style>
  <w:style w:type="paragraph" w:customStyle="1" w:styleId="mbfQuotej">
    <w:name w:val="mbfQuotej"/>
    <w:aliases w:val="qj"/>
    <w:basedOn w:val="Normal"/>
    <w:rsid w:val="00954E4B"/>
    <w:pPr>
      <w:suppressAutoHyphens/>
      <w:spacing w:after="240"/>
      <w:ind w:left="720" w:right="720"/>
      <w:jc w:val="both"/>
    </w:pPr>
  </w:style>
  <w:style w:type="paragraph" w:customStyle="1" w:styleId="mbfQuotejD">
    <w:name w:val="mbfQuotejD"/>
    <w:aliases w:val="qjd"/>
    <w:basedOn w:val="Normal"/>
    <w:rsid w:val="00954E4B"/>
    <w:pPr>
      <w:suppressAutoHyphens/>
      <w:spacing w:line="480" w:lineRule="auto"/>
      <w:ind w:left="720" w:right="720"/>
      <w:jc w:val="both"/>
    </w:pPr>
  </w:style>
  <w:style w:type="paragraph" w:customStyle="1" w:styleId="mbfReLine">
    <w:name w:val="mbfReLine"/>
    <w:aliases w:val="r"/>
    <w:basedOn w:val="Normal"/>
    <w:rsid w:val="00954E4B"/>
    <w:pPr>
      <w:suppressAutoHyphens/>
      <w:spacing w:after="240"/>
      <w:ind w:left="1440" w:hanging="720"/>
    </w:pPr>
  </w:style>
  <w:style w:type="paragraph" w:customStyle="1" w:styleId="mbfSal">
    <w:name w:val="mbfSal"/>
    <w:aliases w:val="sal"/>
    <w:basedOn w:val="Normal"/>
    <w:rsid w:val="00954E4B"/>
    <w:pPr>
      <w:suppressAutoHyphens/>
      <w:spacing w:before="240" w:after="240"/>
    </w:pPr>
  </w:style>
  <w:style w:type="paragraph" w:customStyle="1" w:styleId="mbfSBod">
    <w:name w:val="mbfSBod"/>
    <w:aliases w:val="sb"/>
    <w:basedOn w:val="Normal"/>
    <w:rsid w:val="00954E4B"/>
    <w:pPr>
      <w:suppressAutoHyphens/>
      <w:spacing w:after="240"/>
      <w:ind w:left="720" w:firstLine="720"/>
    </w:pPr>
  </w:style>
  <w:style w:type="paragraph" w:customStyle="1" w:styleId="mbfSBodD">
    <w:name w:val="mbfSBodD"/>
    <w:aliases w:val="sbd"/>
    <w:basedOn w:val="Normal"/>
    <w:rsid w:val="00954E4B"/>
    <w:pPr>
      <w:suppressAutoHyphens/>
      <w:spacing w:line="480" w:lineRule="auto"/>
      <w:ind w:left="720" w:firstLine="720"/>
    </w:pPr>
  </w:style>
  <w:style w:type="paragraph" w:customStyle="1" w:styleId="mbfSBodJ">
    <w:name w:val="mbfSBodJ"/>
    <w:aliases w:val="sbj"/>
    <w:basedOn w:val="Normal"/>
    <w:rsid w:val="00954E4B"/>
    <w:pPr>
      <w:suppressAutoHyphens/>
      <w:spacing w:after="240"/>
      <w:ind w:left="720" w:firstLine="720"/>
      <w:jc w:val="both"/>
    </w:pPr>
  </w:style>
  <w:style w:type="paragraph" w:customStyle="1" w:styleId="mbfSBodJD">
    <w:name w:val="mbfSBodJD"/>
    <w:aliases w:val="sbjd"/>
    <w:basedOn w:val="Normal"/>
    <w:rsid w:val="00954E4B"/>
    <w:pPr>
      <w:suppressAutoHyphens/>
      <w:spacing w:line="480" w:lineRule="auto"/>
      <w:ind w:left="720" w:firstLine="720"/>
      <w:jc w:val="both"/>
    </w:pPr>
  </w:style>
  <w:style w:type="paragraph" w:customStyle="1" w:styleId="mbfSecC">
    <w:name w:val="mbfSecC"/>
    <w:aliases w:val="sc"/>
    <w:basedOn w:val="Normal"/>
    <w:next w:val="mbfBod"/>
    <w:rsid w:val="00954E4B"/>
    <w:pPr>
      <w:keepNext/>
      <w:suppressAutoHyphens/>
      <w:spacing w:after="240"/>
      <w:jc w:val="center"/>
    </w:pPr>
    <w:rPr>
      <w:u w:val="single"/>
    </w:rPr>
  </w:style>
  <w:style w:type="paragraph" w:customStyle="1" w:styleId="mbfSecL">
    <w:name w:val="mbfSecL"/>
    <w:aliases w:val="sl"/>
    <w:basedOn w:val="Normal"/>
    <w:next w:val="mbfBod"/>
    <w:rsid w:val="00954E4B"/>
    <w:pPr>
      <w:keepNext/>
      <w:suppressAutoHyphens/>
      <w:spacing w:after="240"/>
    </w:pPr>
    <w:rPr>
      <w:u w:val="single"/>
    </w:rPr>
  </w:style>
  <w:style w:type="paragraph" w:customStyle="1" w:styleId="mbfSigIn">
    <w:name w:val="mbfSigIn"/>
    <w:aliases w:val="si"/>
    <w:basedOn w:val="Normal"/>
    <w:rsid w:val="00954E4B"/>
    <w:pPr>
      <w:keepNext/>
      <w:suppressAutoHyphens/>
      <w:spacing w:after="240"/>
      <w:ind w:firstLine="720"/>
    </w:pPr>
  </w:style>
  <w:style w:type="paragraph" w:customStyle="1" w:styleId="mbfSigInD">
    <w:name w:val="mbfSigInD"/>
    <w:aliases w:val="sid"/>
    <w:basedOn w:val="Normal"/>
    <w:rsid w:val="00954E4B"/>
    <w:pPr>
      <w:keepNext/>
      <w:suppressAutoHyphens/>
      <w:spacing w:line="480" w:lineRule="auto"/>
      <w:ind w:firstLine="720"/>
    </w:pPr>
  </w:style>
  <w:style w:type="paragraph" w:customStyle="1" w:styleId="mbfSigLine">
    <w:name w:val="mbfSigLine"/>
    <w:aliases w:val="sigl"/>
    <w:basedOn w:val="Normal"/>
    <w:next w:val="Normal"/>
    <w:rsid w:val="00954E4B"/>
    <w:pPr>
      <w:keepNext/>
      <w:tabs>
        <w:tab w:val="right" w:pos="9216"/>
      </w:tabs>
      <w:suppressAutoHyphens/>
      <w:spacing w:before="600"/>
      <w:ind w:left="4320"/>
    </w:pPr>
  </w:style>
  <w:style w:type="paragraph" w:customStyle="1" w:styleId="mbfSigTxt">
    <w:name w:val="mbfSigTxt"/>
    <w:aliases w:val="sig"/>
    <w:basedOn w:val="Normal"/>
    <w:rsid w:val="00954E4B"/>
    <w:pPr>
      <w:keepNext/>
      <w:tabs>
        <w:tab w:val="right" w:pos="9216"/>
      </w:tabs>
      <w:suppressAutoHyphens/>
      <w:ind w:left="4320"/>
    </w:pPr>
  </w:style>
  <w:style w:type="paragraph" w:customStyle="1" w:styleId="mbfSigTxtD">
    <w:name w:val="mbfSigTxtD"/>
    <w:aliases w:val="sigd"/>
    <w:basedOn w:val="Normal"/>
    <w:rsid w:val="00954E4B"/>
    <w:pPr>
      <w:keepNext/>
      <w:suppressAutoHyphens/>
      <w:spacing w:after="240"/>
      <w:ind w:left="4320"/>
    </w:pPr>
  </w:style>
  <w:style w:type="paragraph" w:customStyle="1" w:styleId="mbfSQuote">
    <w:name w:val="mbfSQuote"/>
    <w:aliases w:val="sq"/>
    <w:basedOn w:val="Normal"/>
    <w:rsid w:val="00954E4B"/>
    <w:pPr>
      <w:suppressAutoHyphens/>
      <w:spacing w:after="240"/>
      <w:ind w:left="1440" w:right="1440"/>
    </w:pPr>
  </w:style>
  <w:style w:type="paragraph" w:customStyle="1" w:styleId="mbfSubtitle">
    <w:name w:val="mbfSubtitle"/>
    <w:aliases w:val="st"/>
    <w:basedOn w:val="Normal"/>
    <w:rsid w:val="00954E4B"/>
    <w:pPr>
      <w:suppressAutoHyphens/>
      <w:spacing w:after="240"/>
      <w:jc w:val="center"/>
      <w:outlineLvl w:val="1"/>
    </w:pPr>
  </w:style>
  <w:style w:type="paragraph" w:customStyle="1" w:styleId="mbfTitle">
    <w:name w:val="mbfTitle"/>
    <w:aliases w:val="t"/>
    <w:basedOn w:val="Normal"/>
    <w:next w:val="mbfBodD"/>
    <w:rsid w:val="00954E4B"/>
    <w:pPr>
      <w:keepNext/>
      <w:suppressAutoHyphens/>
      <w:spacing w:after="240"/>
      <w:jc w:val="center"/>
      <w:outlineLvl w:val="0"/>
    </w:pPr>
    <w:rPr>
      <w:u w:val="single"/>
    </w:rPr>
  </w:style>
  <w:style w:type="paragraph" w:customStyle="1" w:styleId="mbfDocID">
    <w:name w:val="mbfDocID"/>
    <w:basedOn w:val="Normal"/>
    <w:next w:val="Normal"/>
    <w:rsid w:val="00954E4B"/>
    <w:pPr>
      <w:suppressAutoHyphens/>
      <w:spacing w:after="240"/>
    </w:pPr>
    <w:rPr>
      <w:rFonts w:ascii="Arial" w:hAnsi="Arial"/>
      <w:sz w:val="12"/>
    </w:rPr>
  </w:style>
  <w:style w:type="paragraph" w:styleId="Header">
    <w:name w:val="header"/>
    <w:basedOn w:val="Normal"/>
    <w:link w:val="HeaderChar"/>
    <w:rsid w:val="00954E4B"/>
    <w:pPr>
      <w:tabs>
        <w:tab w:val="center" w:pos="4680"/>
        <w:tab w:val="right" w:pos="9360"/>
      </w:tabs>
    </w:pPr>
  </w:style>
  <w:style w:type="character" w:styleId="Strong">
    <w:name w:val="Strong"/>
    <w:qFormat/>
    <w:rsid w:val="00954E4B"/>
    <w:rPr>
      <w:b/>
    </w:rPr>
  </w:style>
  <w:style w:type="character" w:customStyle="1" w:styleId="zzmpTrailerItem">
    <w:name w:val="zzmpTrailerItem"/>
    <w:rsid w:val="00D9710E"/>
    <w:rPr>
      <w:rFonts w:ascii="Times New Roman" w:hAnsi="Times New Roman" w:cs="Times New Roman"/>
      <w:dstrike w:val="0"/>
      <w:noProof/>
      <w:color w:val="auto"/>
      <w:spacing w:val="0"/>
      <w:position w:val="0"/>
      <w:sz w:val="18"/>
      <w:szCs w:val="16"/>
      <w:u w:val="none"/>
      <w:effect w:val="none"/>
      <w:vertAlign w:val="baseline"/>
    </w:rPr>
  </w:style>
  <w:style w:type="paragraph" w:styleId="BodyText">
    <w:name w:val="Body Text"/>
    <w:basedOn w:val="Normal"/>
    <w:link w:val="BodyTextChar"/>
    <w:rsid w:val="00954E4B"/>
    <w:pPr>
      <w:spacing w:before="120" w:after="120"/>
      <w:jc w:val="both"/>
    </w:pPr>
    <w:rPr>
      <w:sz w:val="20"/>
    </w:rPr>
  </w:style>
  <w:style w:type="paragraph" w:styleId="BodyTextIndent">
    <w:name w:val="Body Text Indent"/>
    <w:basedOn w:val="Normal"/>
    <w:rsid w:val="00954E4B"/>
    <w:pPr>
      <w:ind w:left="342" w:hanging="450"/>
      <w:jc w:val="both"/>
    </w:pPr>
    <w:rPr>
      <w:sz w:val="18"/>
    </w:rPr>
  </w:style>
  <w:style w:type="paragraph" w:styleId="BodyText2">
    <w:name w:val="Body Text 2"/>
    <w:basedOn w:val="Normal"/>
    <w:link w:val="BodyText2Char"/>
    <w:rsid w:val="00954E4B"/>
    <w:pPr>
      <w:jc w:val="center"/>
    </w:pPr>
    <w:rPr>
      <w:b/>
      <w:sz w:val="20"/>
    </w:rPr>
  </w:style>
  <w:style w:type="character" w:styleId="PageNumber">
    <w:name w:val="page number"/>
    <w:basedOn w:val="DefaultParagraphFont"/>
    <w:rsid w:val="00954E4B"/>
  </w:style>
  <w:style w:type="paragraph" w:styleId="BodyText3">
    <w:name w:val="Body Text 3"/>
    <w:basedOn w:val="Normal"/>
    <w:rsid w:val="00954E4B"/>
    <w:pPr>
      <w:spacing w:before="120" w:after="120"/>
    </w:pPr>
    <w:rPr>
      <w:sz w:val="20"/>
    </w:rPr>
  </w:style>
  <w:style w:type="paragraph" w:styleId="BodyTextIndent2">
    <w:name w:val="Body Text Indent 2"/>
    <w:basedOn w:val="Normal"/>
    <w:rsid w:val="00954E4B"/>
    <w:pPr>
      <w:tabs>
        <w:tab w:val="left" w:pos="360"/>
      </w:tabs>
      <w:spacing w:before="120" w:after="120"/>
      <w:ind w:left="720" w:hanging="720"/>
      <w:jc w:val="both"/>
    </w:pPr>
    <w:rPr>
      <w:sz w:val="20"/>
    </w:rPr>
  </w:style>
  <w:style w:type="paragraph" w:styleId="BalloonText">
    <w:name w:val="Balloon Text"/>
    <w:basedOn w:val="Normal"/>
    <w:semiHidden/>
    <w:rsid w:val="00954E4B"/>
    <w:rPr>
      <w:rFonts w:ascii="Tahoma" w:hAnsi="Tahoma" w:cs="Tahoma"/>
      <w:sz w:val="16"/>
      <w:szCs w:val="16"/>
    </w:rPr>
  </w:style>
  <w:style w:type="character" w:styleId="Hyperlink">
    <w:name w:val="Hyperlink"/>
    <w:rsid w:val="00954E4B"/>
    <w:rPr>
      <w:color w:val="0000FF"/>
      <w:u w:val="single"/>
    </w:rPr>
  </w:style>
  <w:style w:type="table" w:styleId="TableGrid">
    <w:name w:val="Table Grid"/>
    <w:basedOn w:val="TableNormal"/>
    <w:rsid w:val="00954E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7A404B"/>
    <w:rPr>
      <w:sz w:val="24"/>
      <w:lang w:eastAsia="en-US"/>
    </w:rPr>
  </w:style>
  <w:style w:type="character" w:customStyle="1" w:styleId="HeaderChar">
    <w:name w:val="Header Char"/>
    <w:link w:val="Header"/>
    <w:rsid w:val="007A404B"/>
    <w:rPr>
      <w:sz w:val="24"/>
      <w:lang w:eastAsia="en-US"/>
    </w:rPr>
  </w:style>
  <w:style w:type="character" w:customStyle="1" w:styleId="BodyTextChar">
    <w:name w:val="Body Text Char"/>
    <w:link w:val="BodyText"/>
    <w:rsid w:val="007A404B"/>
    <w:rPr>
      <w:lang w:eastAsia="en-US"/>
    </w:rPr>
  </w:style>
  <w:style w:type="character" w:customStyle="1" w:styleId="BodyText2Char">
    <w:name w:val="Body Text 2 Char"/>
    <w:link w:val="BodyText2"/>
    <w:rsid w:val="007A404B"/>
    <w:rPr>
      <w:b/>
      <w:lang w:eastAsia="en-US"/>
    </w:rPr>
  </w:style>
  <w:style w:type="character" w:styleId="Emphasis">
    <w:name w:val="Emphasis"/>
    <w:qFormat/>
    <w:rsid w:val="008154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659291">
      <w:bodyDiv w:val="1"/>
      <w:marLeft w:val="0"/>
      <w:marRight w:val="0"/>
      <w:marTop w:val="0"/>
      <w:marBottom w:val="0"/>
      <w:divBdr>
        <w:top w:val="none" w:sz="0" w:space="0" w:color="auto"/>
        <w:left w:val="none" w:sz="0" w:space="0" w:color="auto"/>
        <w:bottom w:val="none" w:sz="0" w:space="0" w:color="auto"/>
        <w:right w:val="none" w:sz="0" w:space="0" w:color="auto"/>
      </w:divBdr>
      <w:divsChild>
        <w:div w:id="50347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28--Breach Identification GHP Privacy (11/09) Short (A3608797).DOC</vt:lpstr>
    </vt:vector>
  </TitlesOfParts>
  <Company>Michael Best &amp; Friedrich</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28--Breach Identification GHP Privacy (11/09) Short (A3608797).DOC</dc:title>
  <dc:subject>T:\CLIENTA\045146\0001</dc:subject>
  <dc:creator>IS Department</dc:creator>
  <cp:keywords/>
  <dc:description/>
  <cp:lastModifiedBy>Walter, Ron</cp:lastModifiedBy>
  <cp:revision>15</cp:revision>
  <cp:lastPrinted>2013-05-17T13:33:00Z</cp:lastPrinted>
  <dcterms:created xsi:type="dcterms:W3CDTF">2013-05-08T15:01:00Z</dcterms:created>
  <dcterms:modified xsi:type="dcterms:W3CDTF">2013-06-07T22:01:00Z</dcterms:modified>
</cp:coreProperties>
</file>